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5AF" w:rsidRDefault="004B55AF" w:rsidP="004B55AF">
      <w:pPr>
        <w:pStyle w:val="Heading4"/>
        <w:jc w:val="center"/>
        <w:rPr>
          <w:rFonts w:ascii="Arial" w:hAnsi="Arial" w:cs="Arial"/>
          <w:i/>
        </w:rPr>
      </w:pPr>
      <w:r w:rsidRPr="00D3697E">
        <w:rPr>
          <w:rFonts w:ascii="Arial" w:hAnsi="Arial" w:cs="Arial"/>
          <w:i/>
        </w:rPr>
        <w:t>Δραστηριότητα 1: “</w:t>
      </w:r>
      <w:r>
        <w:rPr>
          <w:rFonts w:ascii="Arial" w:hAnsi="Arial" w:cs="Arial"/>
          <w:i/>
        </w:rPr>
        <w:t>Πολλαπλάσια και υποπολλαπλάσια μονάδων μήκους</w:t>
      </w:r>
      <w:r w:rsidRPr="00D3697E">
        <w:rPr>
          <w:rFonts w:ascii="Arial" w:hAnsi="Arial" w:cs="Arial"/>
          <w:i/>
        </w:rPr>
        <w:t>”</w:t>
      </w:r>
    </w:p>
    <w:p w:rsidR="00915CF5" w:rsidRDefault="004B55AF" w:rsidP="004B55AF">
      <w:pPr>
        <w:pStyle w:val="Heading4"/>
        <w:jc w:val="center"/>
        <w:rPr>
          <w:rFonts w:ascii="Arial" w:hAnsi="Arial" w:cs="Arial"/>
          <w:i/>
        </w:rPr>
      </w:pPr>
      <w:r w:rsidRPr="00D3697E">
        <w:rPr>
          <w:rFonts w:ascii="Arial" w:hAnsi="Arial" w:cs="Arial"/>
          <w:i/>
        </w:rPr>
        <w:t xml:space="preserve"> </w:t>
      </w:r>
      <w:r>
        <w:rPr>
          <w:rFonts w:ascii="Arial" w:hAnsi="Arial" w:cs="Arial"/>
          <w:i/>
        </w:rPr>
        <w:t>Ε Δημοτικού</w:t>
      </w:r>
    </w:p>
    <w:p w:rsidR="004B55AF" w:rsidRPr="00D3697E" w:rsidRDefault="00915CF5" w:rsidP="004B55AF">
      <w:pPr>
        <w:pStyle w:val="Heading4"/>
        <w:jc w:val="center"/>
        <w:rPr>
          <w:rFonts w:ascii="Arial" w:hAnsi="Arial" w:cs="Arial"/>
          <w:i/>
        </w:rPr>
      </w:pPr>
      <w:r>
        <w:rPr>
          <w:rFonts w:ascii="Arial" w:hAnsi="Arial" w:cs="Arial"/>
          <w:i/>
        </w:rPr>
        <w:t>Οδηγίες για τον εκπαιδευτικό</w:t>
      </w:r>
    </w:p>
    <w:p w:rsidR="004B55AF" w:rsidRDefault="004B55AF" w:rsidP="004B55AF">
      <w:pPr>
        <w:pStyle w:val="Heading5"/>
      </w:pPr>
      <w:r>
        <w:t>Ροή της δραστηριότητας</w:t>
      </w:r>
    </w:p>
    <w:p w:rsidR="004B55AF" w:rsidRDefault="004B55AF" w:rsidP="004B55AF">
      <w:r>
        <w:t>Στη δραστηριότητα αυτή διαπραγματευόμαστε την αναγκαιότητα στη χρήση υποδιαιρέσεων και πολλαπλασίων των μονάδων μέτρησης μήκους.</w:t>
      </w:r>
    </w:p>
    <w:p w:rsidR="004B55AF" w:rsidRDefault="004B55AF" w:rsidP="004B55AF">
      <w:pPr>
        <w:pStyle w:val="Heading6"/>
        <w:shd w:val="clear" w:color="auto" w:fill="8C8C8C"/>
        <w:jc w:val="center"/>
        <w:rPr>
          <w:rFonts w:ascii="Arial" w:hAnsi="Arial" w:cs="Arial"/>
          <w:color w:val="FFFFFF"/>
          <w:sz w:val="24"/>
          <w:szCs w:val="24"/>
        </w:rPr>
      </w:pPr>
      <w:bookmarkStart w:id="0" w:name="_Toc154293699"/>
      <w:r>
        <w:rPr>
          <w:rFonts w:ascii="Arial" w:hAnsi="Arial" w:cs="Arial"/>
          <w:color w:val="FFFFFF"/>
          <w:sz w:val="24"/>
          <w:szCs w:val="24"/>
        </w:rPr>
        <w:t>Βήμα 1</w:t>
      </w:r>
      <w:r>
        <w:rPr>
          <w:rFonts w:ascii="Arial" w:hAnsi="Arial" w:cs="Arial"/>
          <w:color w:val="FFFFFF"/>
          <w:sz w:val="24"/>
          <w:szCs w:val="24"/>
          <w:vertAlign w:val="superscript"/>
        </w:rPr>
        <w:t>ο</w:t>
      </w:r>
      <w:bookmarkEnd w:id="0"/>
    </w:p>
    <w:p w:rsidR="004B55AF" w:rsidRDefault="004B55AF" w:rsidP="004B55AF"/>
    <w:tbl>
      <w:tblPr>
        <w:tblW w:w="0" w:type="auto"/>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522"/>
      </w:tblGrid>
      <w:tr w:rsidR="004B55AF" w:rsidTr="00AE5442">
        <w:tc>
          <w:tcPr>
            <w:tcW w:w="8522" w:type="dxa"/>
          </w:tcPr>
          <w:p w:rsidR="004B55AF" w:rsidRDefault="004B55AF" w:rsidP="00AE5442">
            <w:r>
              <w:t>Το καλοκαίρι βρεθήκατε με τους δικούς σας για μια βδομάδα στην Πράγα. Από το παράθυρο του ξενοδοχείου βλέπατε απέναντι εργάτες να προσπαθούν να μετρήσουν με γαλάζια και πορτοκαλί δείγματα τον αριθμό διακοσμητικών γλαστρών ακριβώς ίδιων με τα δείγματα που θα χρειαστούν για να καλύψουν από τη μια άκρη ως την άλλη το μπαλκόνι του Εθνικού Θεάτρου (ΕΙΚΟΝΑ-1). Αρχικά αποφάσισαν να χρησιμοποιήσουν μόνο τα γαλάζια. Φαίνονται όμως προβληματισμένοι.</w:t>
            </w:r>
          </w:p>
          <w:p w:rsidR="004B55AF" w:rsidRDefault="004B55AF" w:rsidP="00AE5442">
            <w:pPr>
              <w:jc w:val="center"/>
            </w:pPr>
            <w:r>
              <w:rPr>
                <w:noProof/>
              </w:rPr>
              <w:drawing>
                <wp:inline distT="0" distB="0" distL="0" distR="0">
                  <wp:extent cx="3998595" cy="2115185"/>
                  <wp:effectExtent l="0" t="0" r="1905" b="0"/>
                  <wp:docPr id="7" name="Picture 7"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98595" cy="2115185"/>
                          </a:xfrm>
                          <a:prstGeom prst="rect">
                            <a:avLst/>
                          </a:prstGeom>
                          <a:noFill/>
                          <a:ln>
                            <a:noFill/>
                          </a:ln>
                        </pic:spPr>
                      </pic:pic>
                    </a:graphicData>
                  </a:graphic>
                </wp:inline>
              </w:drawing>
            </w:r>
          </w:p>
          <w:p w:rsidR="004B55AF" w:rsidRPr="005A6A7D" w:rsidRDefault="004B55AF" w:rsidP="00AE5442">
            <w:pPr>
              <w:jc w:val="center"/>
              <w:rPr>
                <w:b/>
              </w:rPr>
            </w:pPr>
            <w:r w:rsidRPr="005A6A7D">
              <w:rPr>
                <w:b/>
              </w:rPr>
              <w:t>ΕΙΚΟΝΑ-1</w:t>
            </w:r>
          </w:p>
          <w:p w:rsidR="004B55AF" w:rsidRDefault="004B55AF" w:rsidP="00AE5442">
            <w:r>
              <w:t xml:space="preserve">Επιχειρήστε να βρείτε τι τους προβληματίζει ανοίγοντας το αρχείο </w:t>
            </w:r>
            <w:r w:rsidR="00915CF5">
              <w:t>«</w:t>
            </w:r>
            <w:proofErr w:type="spellStart"/>
            <w:r w:rsidR="00915CF5">
              <w:t>Δραστηριότητα»</w:t>
            </w:r>
            <w:proofErr w:type="spellEnd"/>
            <w:r>
              <w:t xml:space="preserve"> και προσπαθώντας να κάνετε την αντίστοιχη μέτρηση με τα γαλάζια δείγματα. Τι παρατηρείτε;</w:t>
            </w:r>
          </w:p>
          <w:tbl>
            <w:tblPr>
              <w:tblW w:w="0" w:type="auto"/>
              <w:tblCellSpacing w:w="20" w:type="dxa"/>
              <w:tblBorders>
                <w:top w:val="inset" w:sz="6" w:space="0" w:color="FF6600"/>
                <w:left w:val="inset" w:sz="6" w:space="0" w:color="FF6600"/>
                <w:bottom w:val="inset" w:sz="6" w:space="0" w:color="FF6600"/>
                <w:right w:val="inset" w:sz="6" w:space="0" w:color="FF6600"/>
                <w:insideH w:val="inset" w:sz="6" w:space="0" w:color="FF6600"/>
                <w:insideV w:val="inset" w:sz="6" w:space="0" w:color="FF6600"/>
              </w:tblBorders>
              <w:tblLook w:val="00A0" w:firstRow="1" w:lastRow="0" w:firstColumn="1" w:lastColumn="0" w:noHBand="0" w:noVBand="0"/>
            </w:tblPr>
            <w:tblGrid>
              <w:gridCol w:w="8290"/>
            </w:tblGrid>
            <w:tr w:rsidR="004B55AF" w:rsidTr="00AE5442">
              <w:trPr>
                <w:tblCellSpacing w:w="20" w:type="dxa"/>
              </w:trPr>
              <w:tc>
                <w:tcPr>
                  <w:tcW w:w="8522" w:type="dxa"/>
                  <w:shd w:val="clear" w:color="auto" w:fill="auto"/>
                </w:tcPr>
                <w:p w:rsidR="004B55AF" w:rsidRDefault="004B55AF" w:rsidP="00AE5442"/>
                <w:p w:rsidR="004B55AF" w:rsidRDefault="004B55AF" w:rsidP="00AE5442"/>
                <w:p w:rsidR="004B55AF" w:rsidRDefault="004B55AF" w:rsidP="00AE5442"/>
                <w:p w:rsidR="004B55AF" w:rsidRDefault="004B55AF" w:rsidP="00AE5442"/>
              </w:tc>
            </w:tr>
          </w:tbl>
          <w:p w:rsidR="004B55AF" w:rsidRDefault="004B55AF" w:rsidP="00AE5442"/>
        </w:tc>
      </w:tr>
    </w:tbl>
    <w:p w:rsidR="004B55AF" w:rsidRDefault="004B55AF" w:rsidP="004B55AF"/>
    <w:p w:rsidR="004B55AF" w:rsidRDefault="004B55AF" w:rsidP="004B55AF">
      <w:r>
        <w:t xml:space="preserve">Η ιδέα πίσω από την πρώτη δραστηριότητα είναι ο προβληματισμός πάνω στο γεγονός ότι οι πλήρεις μονάδες μέτρησης δεν είναι πάντα αρκετές προκειμένου να πραγματοποιηθεί μια μέτρηση. Οι μαθητές με πατημένο το ποντίκι σέρνουν τις γαλάζιες μονάδες για να διαπιστώσουν ότι </w:t>
      </w:r>
      <w:r>
        <w:rPr>
          <w:b/>
        </w:rPr>
        <w:t>στο τέλος περισσεύει ένα μέρος του εξώστη που είναι μικρότερο από τη μονάδα μέτρησης και έτσι δεν είναι δυνατόν να ολοκληρώσουμε τη μέτρηση.</w:t>
      </w:r>
      <w:r>
        <w:t xml:space="preserve"> Εδώ μπορεί να γίνει η εισαγωγή στη συζήτηση της ιδέας για χρήση υποδιαιρέσεων της αρχικής μονάδας οι οποίες μπορεί να είναι διαφόρων διαστάσεων. Ακριβώς αυτό διαπραγματεύεται το επόμενο ερώτημα που οι μαθητές ουσιαστικά καλούνται να δηλώσουν τη σχέση που συνδέει τη βασική μονάδα με τις υποδιαιρέσεις της όπως και τη σχέση των υποδιαιρέσεων</w:t>
      </w:r>
      <w:r w:rsidRPr="000A6D20">
        <w:t xml:space="preserve"> </w:t>
      </w:r>
      <w:r>
        <w:t>μεταξύ τους.</w:t>
      </w:r>
    </w:p>
    <w:p w:rsidR="004B55AF" w:rsidRDefault="004B55AF" w:rsidP="004B55AF">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2</w:t>
      </w:r>
      <w:r>
        <w:rPr>
          <w:rFonts w:ascii="Arial" w:hAnsi="Arial" w:cs="Arial"/>
          <w:color w:val="FFFFFF"/>
          <w:sz w:val="24"/>
          <w:szCs w:val="24"/>
          <w:vertAlign w:val="superscript"/>
        </w:rPr>
        <w:t>ο</w:t>
      </w:r>
    </w:p>
    <w:p w:rsidR="004B55AF" w:rsidRDefault="004B55AF" w:rsidP="004B55AF"/>
    <w:p w:rsidR="004B55AF" w:rsidRDefault="004B55AF" w:rsidP="004B55AF"/>
    <w:tbl>
      <w:tblPr>
        <w:tblW w:w="0" w:type="auto"/>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8522"/>
      </w:tblGrid>
      <w:tr w:rsidR="004B55AF" w:rsidTr="00AE5442">
        <w:tc>
          <w:tcPr>
            <w:tcW w:w="8522" w:type="dxa"/>
          </w:tcPr>
          <w:p w:rsidR="004B55AF" w:rsidRDefault="004B55AF" w:rsidP="00AE5442">
            <w:r>
              <w:t>Οι εργάτες αποφασίζουν να χρησιμοποιήσουν και τα πορτοκαλί ορθογώνια ή τετράγωνα προκειμένου να ολοκληρώσουν τη διαδικασία της μέτρησης. Αυτή η μέτρηση βασίζεται στο να βρεθεί η σχέση που συνδέει μεταξύ τους τα διάφορα δείγματα. Ποια είναι η σχέση που συνδέει τα γαλάζια ορθογώνια με τα πορτοκαλί ορθογώνια και τετράγωνα;</w:t>
            </w:r>
          </w:p>
          <w:p w:rsidR="004B55AF" w:rsidRDefault="004B55AF" w:rsidP="00AE5442"/>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4151"/>
              <w:gridCol w:w="4139"/>
            </w:tblGrid>
            <w:tr w:rsidR="004B55AF" w:rsidTr="00AE5442">
              <w:trPr>
                <w:tblCellSpacing w:w="20" w:type="dxa"/>
              </w:trPr>
              <w:tc>
                <w:tcPr>
                  <w:tcW w:w="4256" w:type="dxa"/>
                  <w:shd w:val="clear" w:color="auto" w:fill="auto"/>
                </w:tcPr>
                <w:p w:rsidR="004B55AF" w:rsidRPr="00661CF3" w:rsidRDefault="004B55AF" w:rsidP="00AE5442">
                  <w:r>
                    <w:t xml:space="preserve">Ένα </w:t>
                  </w:r>
                  <w:r>
                    <w:rPr>
                      <w:noProof/>
                    </w:rPr>
                    <w:drawing>
                      <wp:inline distT="0" distB="0" distL="0" distR="0">
                        <wp:extent cx="641350" cy="13652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1350" cy="136525"/>
                                </a:xfrm>
                                <a:prstGeom prst="rect">
                                  <a:avLst/>
                                </a:prstGeom>
                                <a:noFill/>
                                <a:ln>
                                  <a:noFill/>
                                </a:ln>
                              </pic:spPr>
                            </pic:pic>
                          </a:graphicData>
                        </a:graphic>
                      </wp:inline>
                    </w:drawing>
                  </w:r>
                  <w:r>
                    <w:t xml:space="preserve"> είναι ίσο με</w:t>
                  </w:r>
                </w:p>
              </w:tc>
              <w:tc>
                <w:tcPr>
                  <w:tcW w:w="4256" w:type="dxa"/>
                  <w:shd w:val="clear" w:color="auto" w:fill="auto"/>
                </w:tcPr>
                <w:p w:rsidR="004B55AF" w:rsidRPr="00661CF3" w:rsidRDefault="004B55AF" w:rsidP="00AE5442">
                  <w:r>
                    <w:t>.......</w:t>
                  </w:r>
                  <w:r w:rsidRPr="005A6A7D">
                    <w:rPr>
                      <w:b/>
                    </w:rPr>
                    <w:t>2</w:t>
                  </w:r>
                  <w:r>
                    <w:t xml:space="preserve">..    </w:t>
                  </w:r>
                  <w:r>
                    <w:rPr>
                      <w:noProof/>
                    </w:rPr>
                    <w:drawing>
                      <wp:inline distT="0" distB="0" distL="0" distR="0">
                        <wp:extent cx="327660" cy="177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660" cy="177165"/>
                                </a:xfrm>
                                <a:prstGeom prst="rect">
                                  <a:avLst/>
                                </a:prstGeom>
                                <a:noFill/>
                                <a:ln>
                                  <a:noFill/>
                                </a:ln>
                              </pic:spPr>
                            </pic:pic>
                          </a:graphicData>
                        </a:graphic>
                      </wp:inline>
                    </w:drawing>
                  </w:r>
                </w:p>
              </w:tc>
            </w:tr>
            <w:tr w:rsidR="004B55AF" w:rsidTr="00AE5442">
              <w:trPr>
                <w:tblCellSpacing w:w="20" w:type="dxa"/>
              </w:trPr>
              <w:tc>
                <w:tcPr>
                  <w:tcW w:w="4256" w:type="dxa"/>
                  <w:shd w:val="clear" w:color="auto" w:fill="auto"/>
                </w:tcPr>
                <w:p w:rsidR="004B55AF" w:rsidRPr="00661CF3" w:rsidRDefault="004B55AF" w:rsidP="00AE5442">
                  <w:r>
                    <w:t xml:space="preserve">Ένα </w:t>
                  </w:r>
                  <w:r>
                    <w:rPr>
                      <w:noProof/>
                    </w:rPr>
                    <w:drawing>
                      <wp:inline distT="0" distB="0" distL="0" distR="0">
                        <wp:extent cx="641350" cy="13652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1350" cy="136525"/>
                                </a:xfrm>
                                <a:prstGeom prst="rect">
                                  <a:avLst/>
                                </a:prstGeom>
                                <a:noFill/>
                                <a:ln>
                                  <a:noFill/>
                                </a:ln>
                              </pic:spPr>
                            </pic:pic>
                          </a:graphicData>
                        </a:graphic>
                      </wp:inline>
                    </w:drawing>
                  </w:r>
                  <w:r>
                    <w:t xml:space="preserve"> είναι ίσο με</w:t>
                  </w:r>
                </w:p>
              </w:tc>
              <w:tc>
                <w:tcPr>
                  <w:tcW w:w="4256" w:type="dxa"/>
                  <w:shd w:val="clear" w:color="auto" w:fill="auto"/>
                </w:tcPr>
                <w:p w:rsidR="004B55AF" w:rsidRPr="00943615" w:rsidRDefault="004B55AF" w:rsidP="00AE5442">
                  <w:r>
                    <w:t>.......</w:t>
                  </w:r>
                  <w:r w:rsidRPr="005A6A7D">
                    <w:rPr>
                      <w:b/>
                    </w:rPr>
                    <w:t>4</w:t>
                  </w:r>
                  <w:r>
                    <w:t xml:space="preserve">.. </w:t>
                  </w:r>
                  <w:r>
                    <w:rPr>
                      <w:noProof/>
                    </w:rPr>
                    <w:drawing>
                      <wp:inline distT="0" distB="0" distL="0" distR="0">
                        <wp:extent cx="163830" cy="149860"/>
                        <wp:effectExtent l="0" t="0" r="762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 cy="149860"/>
                                </a:xfrm>
                                <a:prstGeom prst="rect">
                                  <a:avLst/>
                                </a:prstGeom>
                                <a:noFill/>
                                <a:ln>
                                  <a:noFill/>
                                </a:ln>
                              </pic:spPr>
                            </pic:pic>
                          </a:graphicData>
                        </a:graphic>
                      </wp:inline>
                    </w:drawing>
                  </w:r>
                </w:p>
              </w:tc>
            </w:tr>
            <w:tr w:rsidR="004B55AF" w:rsidTr="00AE5442">
              <w:trPr>
                <w:tblCellSpacing w:w="20" w:type="dxa"/>
              </w:trPr>
              <w:tc>
                <w:tcPr>
                  <w:tcW w:w="4256" w:type="dxa"/>
                  <w:shd w:val="clear" w:color="auto" w:fill="auto"/>
                </w:tcPr>
                <w:p w:rsidR="004B55AF" w:rsidRDefault="004B55AF" w:rsidP="00AE5442">
                  <w:r>
                    <w:t xml:space="preserve">Ένα </w:t>
                  </w:r>
                  <w:r>
                    <w:rPr>
                      <w:noProof/>
                    </w:rPr>
                    <w:drawing>
                      <wp:inline distT="0" distB="0" distL="0" distR="0">
                        <wp:extent cx="327660" cy="1771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660" cy="177165"/>
                                </a:xfrm>
                                <a:prstGeom prst="rect">
                                  <a:avLst/>
                                </a:prstGeom>
                                <a:noFill/>
                                <a:ln>
                                  <a:noFill/>
                                </a:ln>
                              </pic:spPr>
                            </pic:pic>
                          </a:graphicData>
                        </a:graphic>
                      </wp:inline>
                    </w:drawing>
                  </w:r>
                  <w:r>
                    <w:t xml:space="preserve"> είναι ίσο με </w:t>
                  </w:r>
                </w:p>
              </w:tc>
              <w:tc>
                <w:tcPr>
                  <w:tcW w:w="4256" w:type="dxa"/>
                  <w:shd w:val="clear" w:color="auto" w:fill="auto"/>
                </w:tcPr>
                <w:p w:rsidR="004B55AF" w:rsidRPr="00943615" w:rsidRDefault="004B55AF" w:rsidP="00AE5442">
                  <w:r>
                    <w:t>.......</w:t>
                  </w:r>
                  <w:r w:rsidRPr="005A6A7D">
                    <w:rPr>
                      <w:b/>
                    </w:rPr>
                    <w:t>2</w:t>
                  </w:r>
                  <w:r>
                    <w:t xml:space="preserve">.. </w:t>
                  </w:r>
                  <w:r>
                    <w:rPr>
                      <w:noProof/>
                    </w:rPr>
                    <w:drawing>
                      <wp:inline distT="0" distB="0" distL="0" distR="0">
                        <wp:extent cx="163830" cy="149860"/>
                        <wp:effectExtent l="0" t="0" r="762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 cy="149860"/>
                                </a:xfrm>
                                <a:prstGeom prst="rect">
                                  <a:avLst/>
                                </a:prstGeom>
                                <a:noFill/>
                                <a:ln>
                                  <a:noFill/>
                                </a:ln>
                              </pic:spPr>
                            </pic:pic>
                          </a:graphicData>
                        </a:graphic>
                      </wp:inline>
                    </w:drawing>
                  </w:r>
                </w:p>
              </w:tc>
            </w:tr>
          </w:tbl>
          <w:p w:rsidR="004B55AF" w:rsidRPr="005A6A7D" w:rsidRDefault="004B55AF" w:rsidP="00915CF5">
            <w:pPr>
              <w:jc w:val="center"/>
              <w:rPr>
                <w:b/>
              </w:rPr>
            </w:pPr>
            <w:r w:rsidRPr="005A6A7D">
              <w:rPr>
                <w:b/>
              </w:rPr>
              <w:t>ΠΙΝΑΚΑΣ</w:t>
            </w:r>
            <w:bookmarkStart w:id="1" w:name="_GoBack"/>
            <w:bookmarkEnd w:id="1"/>
            <w:r w:rsidRPr="005A6A7D">
              <w:rPr>
                <w:b/>
              </w:rPr>
              <w:t>-1</w:t>
            </w:r>
          </w:p>
        </w:tc>
      </w:tr>
    </w:tbl>
    <w:p w:rsidR="004B55AF" w:rsidRDefault="004B55AF" w:rsidP="004B55AF"/>
    <w:p w:rsidR="004B55AF" w:rsidRDefault="004B55AF" w:rsidP="004B55AF">
      <w:r>
        <w:t xml:space="preserve">Αυτή η αριθμητική σχέση θα βοηθήσει στη συνέχεια και αφού πραγματοποιήσουν τη μέτρηση στον υπολογιστή μεταφέροντας τώρα εκτός από γαλάζιες μονάδες και όποιες πορτοκαλί </w:t>
      </w:r>
      <w:proofErr w:type="spellStart"/>
      <w:r>
        <w:t>υπομονάδες</w:t>
      </w:r>
      <w:proofErr w:type="spellEnd"/>
      <w:r>
        <w:t xml:space="preserve"> νομίζουν, να εκφράσουν το μήκος του εξώστη συνδυάζοντας πλήρεις μονάδες και </w:t>
      </w:r>
      <w:proofErr w:type="spellStart"/>
      <w:r>
        <w:t>υπομονάδες</w:t>
      </w:r>
      <w:proofErr w:type="spellEnd"/>
      <w:r>
        <w:t>.</w:t>
      </w:r>
    </w:p>
    <w:p w:rsidR="004B55AF" w:rsidRDefault="004B55AF" w:rsidP="004B55AF">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3</w:t>
      </w:r>
      <w:r>
        <w:rPr>
          <w:rFonts w:ascii="Arial" w:hAnsi="Arial" w:cs="Arial"/>
          <w:color w:val="FFFFFF"/>
          <w:sz w:val="24"/>
          <w:szCs w:val="24"/>
          <w:vertAlign w:val="superscript"/>
        </w:rPr>
        <w:t>ο</w:t>
      </w:r>
    </w:p>
    <w:p w:rsidR="004B55AF" w:rsidRDefault="004B55AF" w:rsidP="004B55AF">
      <w:pPr>
        <w:rPr>
          <w:b/>
          <w:bCs/>
          <w:shd w:val="clear" w:color="auto" w:fill="00FFFF"/>
          <w:lang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4B55AF" w:rsidRPr="005A6A7D" w:rsidTr="00AE5442">
        <w:tc>
          <w:tcPr>
            <w:tcW w:w="8522" w:type="dxa"/>
          </w:tcPr>
          <w:p w:rsidR="004B55AF" w:rsidRDefault="004B55AF" w:rsidP="00AE5442">
            <w:r>
              <w:t xml:space="preserve">Οι εργάτες κάνουν διάφορους συνδυασμούς με διαφορετικά δείγματα για να καλύψουν τον εξώστη προκειμένου να αποφασίσουν με ποιον τελικά τρόπο θα γίνει αυτό. Μπορείτε να δοκιμάσετε και σεις τρεις διαφορετικούς τρόπους και να δώσετε τα αποτελέσματα των μετρήσεών σας. Δουλεύετε πάντα με το αρχείο </w:t>
            </w:r>
            <w:r w:rsidR="00915CF5">
              <w:t>«</w:t>
            </w:r>
            <w:proofErr w:type="spellStart"/>
            <w:r w:rsidR="00915CF5">
              <w:t>Δραστηριότητα»</w:t>
            </w:r>
            <w:proofErr w:type="spellEnd"/>
            <w:r>
              <w:t xml:space="preserve"> και μπορείτε σε μια μέτρηση να χρησιμοποιείτε όποιο συνδυασμό μονάδων θέλετε.</w:t>
            </w:r>
          </w:p>
          <w:tbl>
            <w:tblPr>
              <w:tblW w:w="0" w:type="auto"/>
              <w:tblCellSpacing w:w="20" w:type="dxa"/>
              <w:tblBorders>
                <w:top w:val="inset" w:sz="6" w:space="0" w:color="FF6600"/>
                <w:left w:val="inset" w:sz="6" w:space="0" w:color="FF6600"/>
                <w:bottom w:val="inset" w:sz="6" w:space="0" w:color="FF6600"/>
                <w:right w:val="inset" w:sz="6" w:space="0" w:color="FF6600"/>
                <w:insideH w:val="inset" w:sz="6" w:space="0" w:color="FF6600"/>
                <w:insideV w:val="inset" w:sz="6" w:space="0" w:color="FF6600"/>
              </w:tblBorders>
              <w:tblLook w:val="00A0" w:firstRow="1" w:lastRow="0" w:firstColumn="1" w:lastColumn="0" w:noHBand="0" w:noVBand="0"/>
            </w:tblPr>
            <w:tblGrid>
              <w:gridCol w:w="8290"/>
            </w:tblGrid>
            <w:tr w:rsidR="004B55AF" w:rsidTr="00AE5442">
              <w:trPr>
                <w:tblCellSpacing w:w="20" w:type="dxa"/>
              </w:trPr>
              <w:tc>
                <w:tcPr>
                  <w:tcW w:w="8522" w:type="dxa"/>
                  <w:shd w:val="clear" w:color="auto" w:fill="auto"/>
                </w:tcPr>
                <w:p w:rsidR="004B55AF" w:rsidRDefault="004B55AF" w:rsidP="00AE5442"/>
                <w:p w:rsidR="004B55AF" w:rsidRDefault="004B55AF" w:rsidP="00AE5442">
                  <w:r>
                    <w:t>Το μήκος του εξώστη είναι:</w:t>
                  </w:r>
                </w:p>
                <w:p w:rsidR="004B55AF" w:rsidRDefault="004B55AF" w:rsidP="00AE5442"/>
              </w:tc>
            </w:tr>
          </w:tbl>
          <w:p w:rsidR="004B55AF" w:rsidRPr="00856093" w:rsidRDefault="004B55AF" w:rsidP="00AE5442"/>
        </w:tc>
      </w:tr>
    </w:tbl>
    <w:p w:rsidR="004B55AF" w:rsidRDefault="004B55AF" w:rsidP="004B55AF">
      <w:pPr>
        <w:rPr>
          <w:b/>
          <w:bCs/>
          <w:shd w:val="clear" w:color="auto" w:fill="00FFFF"/>
          <w:lang w:bidi="en-US"/>
        </w:rPr>
      </w:pPr>
    </w:p>
    <w:p w:rsidR="004B55AF" w:rsidRDefault="004B55AF" w:rsidP="004B55AF">
      <w:r>
        <w:t xml:space="preserve">Δεχόμαστε σωστούς όλους τους πιθανούς συνδυασμούς: α) </w:t>
      </w:r>
      <w:r>
        <w:rPr>
          <w:b/>
        </w:rPr>
        <w:t>6 γαλάζια ορθογώνια, 1 πορτοκαλί ορθογώνιο και 1 πορτοκαλί τετράγωνο, β)</w:t>
      </w:r>
      <w:r>
        <w:t xml:space="preserve"> </w:t>
      </w:r>
      <w:r>
        <w:rPr>
          <w:b/>
        </w:rPr>
        <w:t xml:space="preserve"> 6 γαλάζια ορθογώνια και 3 πορτοκαλί τετράγωνα, κλπ</w:t>
      </w:r>
      <w:r>
        <w:t>.</w:t>
      </w:r>
    </w:p>
    <w:p w:rsidR="00DC07F6" w:rsidRDefault="00DC07F6"/>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5AF"/>
    <w:rsid w:val="003747A6"/>
    <w:rsid w:val="004B55AF"/>
    <w:rsid w:val="00522D79"/>
    <w:rsid w:val="00915CF5"/>
    <w:rsid w:val="00DC07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5AF"/>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4B55AF"/>
    <w:pPr>
      <w:keepNext/>
      <w:spacing w:before="240" w:after="60"/>
      <w:outlineLvl w:val="3"/>
    </w:pPr>
    <w:rPr>
      <w:rFonts w:ascii="Arial (W1)" w:hAnsi="Arial (W1)"/>
      <w:b/>
      <w:bCs/>
      <w:sz w:val="24"/>
      <w:szCs w:val="28"/>
    </w:rPr>
  </w:style>
  <w:style w:type="paragraph" w:styleId="Heading5">
    <w:name w:val="heading 5"/>
    <w:basedOn w:val="Normal"/>
    <w:next w:val="Normal"/>
    <w:link w:val="Heading5Char"/>
    <w:qFormat/>
    <w:rsid w:val="004B55AF"/>
    <w:pPr>
      <w:spacing w:before="240" w:after="60"/>
      <w:outlineLvl w:val="4"/>
    </w:pPr>
    <w:rPr>
      <w:rFonts w:eastAsia="MS Mincho" w:cs="Arial"/>
      <w:b/>
      <w:bCs/>
      <w:szCs w:val="26"/>
      <w:lang w:eastAsia="en-US"/>
    </w:rPr>
  </w:style>
  <w:style w:type="paragraph" w:styleId="Heading6">
    <w:name w:val="heading 6"/>
    <w:basedOn w:val="Normal"/>
    <w:next w:val="Normal"/>
    <w:link w:val="Heading6Char"/>
    <w:qFormat/>
    <w:rsid w:val="004B55AF"/>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B55AF"/>
    <w:rPr>
      <w:rFonts w:ascii="Arial (W1)" w:eastAsia="Times New Roman" w:hAnsi="Arial (W1)" w:cs="Times New Roman"/>
      <w:b/>
      <w:bCs/>
      <w:sz w:val="24"/>
      <w:szCs w:val="28"/>
      <w:lang w:eastAsia="el-GR"/>
    </w:rPr>
  </w:style>
  <w:style w:type="character" w:customStyle="1" w:styleId="Heading5Char">
    <w:name w:val="Heading 5 Char"/>
    <w:basedOn w:val="DefaultParagraphFont"/>
    <w:link w:val="Heading5"/>
    <w:rsid w:val="004B55AF"/>
    <w:rPr>
      <w:rFonts w:ascii="Verdana" w:eastAsia="MS Mincho" w:hAnsi="Verdana" w:cs="Arial"/>
      <w:b/>
      <w:bCs/>
      <w:sz w:val="20"/>
      <w:szCs w:val="26"/>
    </w:rPr>
  </w:style>
  <w:style w:type="character" w:customStyle="1" w:styleId="Heading6Char">
    <w:name w:val="Heading 6 Char"/>
    <w:basedOn w:val="DefaultParagraphFont"/>
    <w:link w:val="Heading6"/>
    <w:rsid w:val="004B55AF"/>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4B55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5AF"/>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5AF"/>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4B55AF"/>
    <w:pPr>
      <w:keepNext/>
      <w:spacing w:before="240" w:after="60"/>
      <w:outlineLvl w:val="3"/>
    </w:pPr>
    <w:rPr>
      <w:rFonts w:ascii="Arial (W1)" w:hAnsi="Arial (W1)"/>
      <w:b/>
      <w:bCs/>
      <w:sz w:val="24"/>
      <w:szCs w:val="28"/>
    </w:rPr>
  </w:style>
  <w:style w:type="paragraph" w:styleId="Heading5">
    <w:name w:val="heading 5"/>
    <w:basedOn w:val="Normal"/>
    <w:next w:val="Normal"/>
    <w:link w:val="Heading5Char"/>
    <w:qFormat/>
    <w:rsid w:val="004B55AF"/>
    <w:pPr>
      <w:spacing w:before="240" w:after="60"/>
      <w:outlineLvl w:val="4"/>
    </w:pPr>
    <w:rPr>
      <w:rFonts w:eastAsia="MS Mincho" w:cs="Arial"/>
      <w:b/>
      <w:bCs/>
      <w:szCs w:val="26"/>
      <w:lang w:eastAsia="en-US"/>
    </w:rPr>
  </w:style>
  <w:style w:type="paragraph" w:styleId="Heading6">
    <w:name w:val="heading 6"/>
    <w:basedOn w:val="Normal"/>
    <w:next w:val="Normal"/>
    <w:link w:val="Heading6Char"/>
    <w:qFormat/>
    <w:rsid w:val="004B55AF"/>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B55AF"/>
    <w:rPr>
      <w:rFonts w:ascii="Arial (W1)" w:eastAsia="Times New Roman" w:hAnsi="Arial (W1)" w:cs="Times New Roman"/>
      <w:b/>
      <w:bCs/>
      <w:sz w:val="24"/>
      <w:szCs w:val="28"/>
      <w:lang w:eastAsia="el-GR"/>
    </w:rPr>
  </w:style>
  <w:style w:type="character" w:customStyle="1" w:styleId="Heading5Char">
    <w:name w:val="Heading 5 Char"/>
    <w:basedOn w:val="DefaultParagraphFont"/>
    <w:link w:val="Heading5"/>
    <w:rsid w:val="004B55AF"/>
    <w:rPr>
      <w:rFonts w:ascii="Verdana" w:eastAsia="MS Mincho" w:hAnsi="Verdana" w:cs="Arial"/>
      <w:b/>
      <w:bCs/>
      <w:sz w:val="20"/>
      <w:szCs w:val="26"/>
    </w:rPr>
  </w:style>
  <w:style w:type="character" w:customStyle="1" w:styleId="Heading6Char">
    <w:name w:val="Heading 6 Char"/>
    <w:basedOn w:val="DefaultParagraphFont"/>
    <w:link w:val="Heading6"/>
    <w:rsid w:val="004B55AF"/>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4B55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55AF"/>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467</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2</cp:revision>
  <dcterms:created xsi:type="dcterms:W3CDTF">2013-12-01T14:50:00Z</dcterms:created>
  <dcterms:modified xsi:type="dcterms:W3CDTF">2014-01-06T16:44:00Z</dcterms:modified>
</cp:coreProperties>
</file>